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69B0" w14:textId="77777777" w:rsidR="00DD7BF4" w:rsidRDefault="00490D94" w:rsidP="00BA16A1">
      <w:pPr>
        <w:spacing w:after="120"/>
        <w:jc w:val="center"/>
        <w:rPr>
          <w:b/>
        </w:rPr>
      </w:pPr>
      <w:r>
        <w:rPr>
          <w:b/>
        </w:rPr>
        <w:t>Cumulative Frequency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F2604D" w14:paraId="290EA20D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7FF35003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34518371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362C65BC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6047B56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A076E5D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4A21AADE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08A4F2A0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3AFC8DC9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05D83190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51F2171C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4F6D770C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357CD416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10E129D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F2604D" w:rsidRPr="004C6A56" w14:paraId="2F780CDB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16BA61D" w14:textId="77777777" w:rsidR="00635FDE" w:rsidRPr="004C6A56" w:rsidRDefault="00511CA8" w:rsidP="00511C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9D074C4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32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D1C2898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27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C4E1B32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B762E0C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FD156E1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CFECB61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5CD39AE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D2AA234" w14:textId="77777777" w:rsidR="00635FDE" w:rsidRPr="004C6A56" w:rsidRDefault="00443603" w:rsidP="0044360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79D5E24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B3135DD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9EC2E42" w14:textId="77777777" w:rsidR="00635FDE" w:rsidRPr="004C6A56" w:rsidRDefault="00511CA8" w:rsidP="00511C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4B7850D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</w:tr>
      <w:tr w:rsidR="00FA5B1C" w:rsidRPr="00C15A33" w14:paraId="7B60DDF9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B91EBD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1810D55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58D4723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92DC5F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C10CB2F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4F88DD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542685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FAAAF13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20B25F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0BC9288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D4E3390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C1CF21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D7FD02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F2604D" w14:paraId="7C1ACE75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4E30A50C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3B38A67C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0757B6D2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4B0D4C9D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5840F0F6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4E68E39C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28F0B423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53B5BBC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413B1DE7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13F70242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061E619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5691A502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2C741372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F2604D" w:rsidRPr="004C6A56" w14:paraId="2499D02F" w14:textId="77777777" w:rsidTr="00635FDE">
        <w:trPr>
          <w:trHeight w:val="56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B6F5ABD" w14:textId="77777777" w:rsidR="00635FDE" w:rsidRPr="004C6A56" w:rsidRDefault="00F7088E" w:rsidP="00F708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148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9F8BE6D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6AE5D87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150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A46B62B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5C77D51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11F6345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C30158C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BB780A4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9CED2E5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E7D6153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B0B8798" w14:textId="77777777" w:rsidR="00635FDE" w:rsidRPr="004C6A56" w:rsidRDefault="00FA5B1C" w:rsidP="00FA5B1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45D8EEA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4405F6E" w14:textId="77777777" w:rsidR="00635FDE" w:rsidRPr="004C6A56" w:rsidRDefault="00F2604D" w:rsidP="00F260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3BD47104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60008D67" w14:textId="77777777" w:rsidR="00D63AA6" w:rsidRDefault="00B94A52" w:rsidP="00D63AA6">
      <w:pPr>
        <w:spacing w:after="0"/>
        <w:jc w:val="center"/>
      </w:pPr>
      <w:r>
        <w:t>Use the cumulative frequency graph to answer the questions</w:t>
      </w:r>
      <w:r w:rsidR="00D63AA6">
        <w:t>, link your answers to the table above</w:t>
      </w:r>
      <w:r w:rsidR="00005AA0">
        <w:t xml:space="preserve"> </w:t>
      </w:r>
      <w:r>
        <w:t xml:space="preserve">and unjumble the letters </w:t>
      </w:r>
      <w:r w:rsidR="00DD01F7">
        <w:t xml:space="preserve">to reveal </w:t>
      </w:r>
      <w:r>
        <w:t>what the person stuck between two buildings was named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18"/>
        <w:gridCol w:w="5140"/>
      </w:tblGrid>
      <w:tr w:rsidR="002225A1" w:rsidRPr="004C6A56" w14:paraId="732E7280" w14:textId="77777777" w:rsidTr="00443603">
        <w:trPr>
          <w:trHeight w:val="567"/>
        </w:trPr>
        <w:tc>
          <w:tcPr>
            <w:tcW w:w="1667" w:type="pct"/>
            <w:vAlign w:val="center"/>
          </w:tcPr>
          <w:p w14:paraId="103D984A" w14:textId="77777777" w:rsidR="00B94A52" w:rsidRPr="004C6A56" w:rsidRDefault="00443603" w:rsidP="009C3E85">
            <w:pPr>
              <w:jc w:val="center"/>
            </w:pPr>
            <w:r>
              <w:t>The cumulative frequency graphs below shows the ages of shoppers one Saturday afternoon:</w:t>
            </w:r>
          </w:p>
        </w:tc>
        <w:tc>
          <w:tcPr>
            <w:tcW w:w="1663" w:type="pct"/>
            <w:vAlign w:val="center"/>
          </w:tcPr>
          <w:p w14:paraId="260809A1" w14:textId="77777777" w:rsidR="00B94A52" w:rsidRPr="004C6A56" w:rsidRDefault="00511CA8" w:rsidP="004C6A56">
            <w:pPr>
              <w:jc w:val="center"/>
            </w:pPr>
            <w:r>
              <w:t>The cumulative frequency graph below shows the times runners achieved in a race:</w:t>
            </w:r>
          </w:p>
        </w:tc>
        <w:tc>
          <w:tcPr>
            <w:tcW w:w="1670" w:type="pct"/>
            <w:vAlign w:val="center"/>
          </w:tcPr>
          <w:p w14:paraId="1D66288D" w14:textId="77777777" w:rsidR="00B94A52" w:rsidRPr="004C6A56" w:rsidRDefault="00511CA8" w:rsidP="00B04C4B">
            <w:pPr>
              <w:jc w:val="center"/>
            </w:pPr>
            <w:r>
              <w:t>The cumulative frequency graph shows the ages of workers at a factory:</w:t>
            </w:r>
          </w:p>
        </w:tc>
      </w:tr>
      <w:tr w:rsidR="002225A1" w:rsidRPr="004C6A56" w14:paraId="7F753C1A" w14:textId="77777777" w:rsidTr="00B94A52">
        <w:trPr>
          <w:trHeight w:val="850"/>
        </w:trPr>
        <w:tc>
          <w:tcPr>
            <w:tcW w:w="1667" w:type="pct"/>
            <w:vAlign w:val="center"/>
          </w:tcPr>
          <w:p w14:paraId="57EB8B10" w14:textId="77777777" w:rsidR="00443603" w:rsidRPr="004C6A56" w:rsidRDefault="00443603" w:rsidP="004436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0EF6D3" wp14:editId="371FFB48">
                  <wp:extent cx="2616200" cy="255135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54" cy="255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  <w:vAlign w:val="center"/>
          </w:tcPr>
          <w:p w14:paraId="0242DAAE" w14:textId="77777777" w:rsidR="00443603" w:rsidRPr="004C6A56" w:rsidRDefault="00443603" w:rsidP="004436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F7D218" wp14:editId="1E43D3DD">
                  <wp:extent cx="2618984" cy="2520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62" cy="253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pct"/>
            <w:vAlign w:val="center"/>
          </w:tcPr>
          <w:p w14:paraId="59CBEDF8" w14:textId="77777777" w:rsidR="00443603" w:rsidRPr="004C6A56" w:rsidRDefault="002225A1" w:rsidP="00443603">
            <w:pPr>
              <w:spacing w:before="60" w:after="6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238367" wp14:editId="0C74D027">
                  <wp:extent cx="2597150" cy="2545587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869" cy="25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5A1" w14:paraId="731DA875" w14:textId="77777777" w:rsidTr="00B94A52">
        <w:trPr>
          <w:trHeight w:val="510"/>
        </w:trPr>
        <w:tc>
          <w:tcPr>
            <w:tcW w:w="1667" w:type="pct"/>
            <w:vAlign w:val="center"/>
          </w:tcPr>
          <w:p w14:paraId="4F8FAFB3" w14:textId="77777777" w:rsidR="00B94A52" w:rsidRPr="00DD01F7" w:rsidRDefault="00443603" w:rsidP="00B04C4B">
            <w:pPr>
              <w:jc w:val="center"/>
            </w:pPr>
            <w:r>
              <w:t>Find the median age of shoppers.</w:t>
            </w:r>
          </w:p>
        </w:tc>
        <w:tc>
          <w:tcPr>
            <w:tcW w:w="1663" w:type="pct"/>
            <w:vAlign w:val="center"/>
          </w:tcPr>
          <w:p w14:paraId="5654426A" w14:textId="77777777" w:rsidR="00B94A52" w:rsidRDefault="00511CA8" w:rsidP="00B04C4B">
            <w:pPr>
              <w:jc w:val="center"/>
            </w:pPr>
            <w:r>
              <w:t>Find the inter-quartile range of the times</w:t>
            </w:r>
          </w:p>
        </w:tc>
        <w:tc>
          <w:tcPr>
            <w:tcW w:w="1670" w:type="pct"/>
            <w:vAlign w:val="center"/>
          </w:tcPr>
          <w:p w14:paraId="7984B4EC" w14:textId="77777777" w:rsidR="00B94A52" w:rsidRDefault="00511CA8" w:rsidP="00511CA8">
            <w:pPr>
              <w:jc w:val="center"/>
            </w:pPr>
            <w:r>
              <w:t xml:space="preserve">How many of the workers are older than </w:t>
            </w:r>
            <m:oMath>
              <m:r>
                <w:rPr>
                  <w:rFonts w:ascii="Cambria Math" w:hAnsi="Cambria Math"/>
                </w:rPr>
                <m:t>65</m:t>
              </m:r>
            </m:oMath>
            <w:r>
              <w:rPr>
                <w:rFonts w:eastAsiaTheme="minorEastAsia"/>
              </w:rPr>
              <w:t>?</w:t>
            </w:r>
          </w:p>
        </w:tc>
      </w:tr>
      <w:tr w:rsidR="00443603" w:rsidRPr="00443603" w14:paraId="6E9BE445" w14:textId="77777777" w:rsidTr="00B94A52">
        <w:trPr>
          <w:trHeight w:val="510"/>
        </w:trPr>
        <w:tc>
          <w:tcPr>
            <w:tcW w:w="1667" w:type="pct"/>
            <w:vAlign w:val="center"/>
          </w:tcPr>
          <w:p w14:paraId="53D491E7" w14:textId="77777777" w:rsidR="00443603" w:rsidRPr="00443603" w:rsidRDefault="00443603" w:rsidP="00443603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vAlign w:val="center"/>
          </w:tcPr>
          <w:p w14:paraId="1CEE3F6F" w14:textId="77777777" w:rsidR="00443603" w:rsidRPr="00443603" w:rsidRDefault="00443603" w:rsidP="00511CA8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vAlign w:val="center"/>
          </w:tcPr>
          <w:p w14:paraId="7B044A1B" w14:textId="77777777" w:rsidR="00443603" w:rsidRPr="00443603" w:rsidRDefault="00443603" w:rsidP="00511CA8">
            <w:pPr>
              <w:jc w:val="center"/>
              <w:rPr>
                <w:color w:val="FF0000"/>
              </w:rPr>
            </w:pPr>
          </w:p>
        </w:tc>
      </w:tr>
      <w:tr w:rsidR="002225A1" w14:paraId="482D1037" w14:textId="77777777" w:rsidTr="00B94A52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D910BA6" w14:textId="77777777" w:rsidR="00B94A52" w:rsidRPr="00DD01F7" w:rsidRDefault="00B94A52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14:paraId="7078BE63" w14:textId="77777777" w:rsidR="00B94A52" w:rsidRPr="00E10551" w:rsidRDefault="00B94A52" w:rsidP="00B04C4B">
            <w:pPr>
              <w:jc w:val="center"/>
              <w:rPr>
                <w:color w:val="FF000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14:paraId="632CC922" w14:textId="77777777" w:rsidR="00B94A52" w:rsidRPr="00E10551" w:rsidRDefault="00B94A52" w:rsidP="00B04C4B">
            <w:pPr>
              <w:jc w:val="center"/>
              <w:rPr>
                <w:color w:val="FF0000"/>
              </w:rPr>
            </w:pPr>
          </w:p>
        </w:tc>
      </w:tr>
    </w:tbl>
    <w:p w14:paraId="03D3F948" w14:textId="77777777" w:rsidR="00D63AA6" w:rsidRPr="008B3989" w:rsidRDefault="00D63AA6" w:rsidP="008B3989">
      <w:pPr>
        <w:rPr>
          <w:sz w:val="4"/>
        </w:rPr>
      </w:pPr>
    </w:p>
    <w:sectPr w:rsidR="00D63AA6" w:rsidRPr="008B3989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225A1"/>
    <w:rsid w:val="003C5592"/>
    <w:rsid w:val="00443603"/>
    <w:rsid w:val="00490D94"/>
    <w:rsid w:val="004C2D67"/>
    <w:rsid w:val="004C6A56"/>
    <w:rsid w:val="0050163F"/>
    <w:rsid w:val="00511CA8"/>
    <w:rsid w:val="00626670"/>
    <w:rsid w:val="00635FDE"/>
    <w:rsid w:val="006A2DB5"/>
    <w:rsid w:val="00775ECD"/>
    <w:rsid w:val="00781B3F"/>
    <w:rsid w:val="008B3989"/>
    <w:rsid w:val="008C03D7"/>
    <w:rsid w:val="00905323"/>
    <w:rsid w:val="009111BB"/>
    <w:rsid w:val="00954F59"/>
    <w:rsid w:val="009C3E85"/>
    <w:rsid w:val="00A13A53"/>
    <w:rsid w:val="00A74716"/>
    <w:rsid w:val="00A963BB"/>
    <w:rsid w:val="00A97800"/>
    <w:rsid w:val="00A97EEE"/>
    <w:rsid w:val="00B04C4B"/>
    <w:rsid w:val="00B94A52"/>
    <w:rsid w:val="00BA16A1"/>
    <w:rsid w:val="00BC1103"/>
    <w:rsid w:val="00BD50AC"/>
    <w:rsid w:val="00BE6C89"/>
    <w:rsid w:val="00C122BC"/>
    <w:rsid w:val="00C15A33"/>
    <w:rsid w:val="00CB2814"/>
    <w:rsid w:val="00CC7E4F"/>
    <w:rsid w:val="00D63AA6"/>
    <w:rsid w:val="00D966D3"/>
    <w:rsid w:val="00DD01F7"/>
    <w:rsid w:val="00DD7BF4"/>
    <w:rsid w:val="00DF532C"/>
    <w:rsid w:val="00E10551"/>
    <w:rsid w:val="00EB58F8"/>
    <w:rsid w:val="00EF4DBC"/>
    <w:rsid w:val="00F244D0"/>
    <w:rsid w:val="00F2604D"/>
    <w:rsid w:val="00F7088E"/>
    <w:rsid w:val="00FA070C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6C33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Jishitha R</cp:lastModifiedBy>
  <cp:revision>2</cp:revision>
  <dcterms:created xsi:type="dcterms:W3CDTF">2024-02-14T06:55:00Z</dcterms:created>
  <dcterms:modified xsi:type="dcterms:W3CDTF">2024-02-14T06:55:00Z</dcterms:modified>
</cp:coreProperties>
</file>